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813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RELATORIA DE MESA TEMÁTICA SECTORIAL</w:t>
      </w:r>
    </w:p>
    <w:p w:rsidR="00000000" w:rsidDel="00000000" w:rsidP="00000000" w:rsidRDefault="00000000" w:rsidRPr="00000000" w14:paraId="00000002">
      <w:pPr>
        <w:tabs>
          <w:tab w:val="left" w:leader="none" w:pos="4813"/>
        </w:tabs>
        <w:rPr>
          <w:rFonts w:ascii="Helvetica Neue" w:cs="Helvetica Neue" w:eastAsia="Helvetica Neue" w:hAnsi="Helvetica Neue"/>
          <w:b w:val="1"/>
          <w:color w:val="a50021"/>
        </w:rPr>
      </w:pPr>
      <w:r w:rsidDel="00000000" w:rsidR="00000000" w:rsidRPr="00000000">
        <w:rPr>
          <w:rtl w:val="0"/>
        </w:rPr>
      </w:r>
    </w:p>
    <w:bookmarkStart w:colFirst="0" w:colLast="0" w:name="30j0zll" w:id="0"/>
    <w:bookmarkEnd w:id="0"/>
    <w:bookmarkStart w:colFirst="0" w:colLast="0" w:name="gjdgxs" w:id="1"/>
    <w:bookmarkEnd w:id="1"/>
    <w:p w:rsidR="00000000" w:rsidDel="00000000" w:rsidP="00000000" w:rsidRDefault="00000000" w:rsidRPr="00000000" w14:paraId="00000003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En la ciudad de ___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Oaxaca de Juárez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___, Oaxaca, siendo las __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10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 horas con __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30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 minutos del día __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21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 de __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febrero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 del dos mil veintitrés, reunidos en las instalaciones de _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Archivo General del Estado de Oaxaca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___, sita en la Calle __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Los Pinos Av. Canteras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_____, No. _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S/N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___ del municipio de ___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Santa María Ixcotel, Santa Lucía del Camino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_______, Oaxaca; El C. Carlos Amaya López, Coordinador de la Mesa Temática Sectorial de Juventudes, acompañado por el C. Sesaí Díaz Sánchez, en su calidad de Moderador y el C. Jorge Ramírez García, como relator de la Mesa referida, acompañados por representantes de la sociedad civil, instituciones académicas y de los gobiernos federal y estatal, de acuerdo con la lista de asistencia anexa.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Todos con el objetivo de participar en el proceso de trabajo convocado en respuesta a los compromisos establecidos en la Ley Estatal de Planeación sobre la elaboración y formulación del Plan Estatal de Desarrollo, de acuerdo con el siguiente: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Orden del día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1.- Registro de asistencia.</w:t>
      </w:r>
    </w:p>
    <w:p w:rsidR="00000000" w:rsidDel="00000000" w:rsidP="00000000" w:rsidRDefault="00000000" w:rsidRPr="00000000" w14:paraId="0000000A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2.- Instalación y presentación de la mecánica de la mesa.</w:t>
      </w:r>
    </w:p>
    <w:p w:rsidR="00000000" w:rsidDel="00000000" w:rsidP="00000000" w:rsidRDefault="00000000" w:rsidRPr="00000000" w14:paraId="0000000B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3.- Presentación de integrantes.</w:t>
      </w:r>
    </w:p>
    <w:p w:rsidR="00000000" w:rsidDel="00000000" w:rsidP="00000000" w:rsidRDefault="00000000" w:rsidRPr="00000000" w14:paraId="0000000C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4.- Ponencias.</w:t>
      </w:r>
    </w:p>
    <w:p w:rsidR="00000000" w:rsidDel="00000000" w:rsidP="00000000" w:rsidRDefault="00000000" w:rsidRPr="00000000" w14:paraId="0000000D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5.- Sesión de preguntas y respuestas.</w:t>
      </w:r>
    </w:p>
    <w:p w:rsidR="00000000" w:rsidDel="00000000" w:rsidP="00000000" w:rsidRDefault="00000000" w:rsidRPr="00000000" w14:paraId="0000000E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6.- Integración de conclusiones.</w:t>
      </w:r>
    </w:p>
    <w:p w:rsidR="00000000" w:rsidDel="00000000" w:rsidP="00000000" w:rsidRDefault="00000000" w:rsidRPr="00000000" w14:paraId="0000000F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7.- Lectura y firma de la relatoría.</w:t>
      </w:r>
    </w:p>
    <w:p w:rsidR="00000000" w:rsidDel="00000000" w:rsidP="00000000" w:rsidRDefault="00000000" w:rsidRPr="00000000" w14:paraId="00000010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8.- Cierre de la mesa.</w:t>
      </w:r>
    </w:p>
    <w:p w:rsidR="00000000" w:rsidDel="00000000" w:rsidP="00000000" w:rsidRDefault="00000000" w:rsidRPr="00000000" w14:paraId="00000011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Desarrollo de la reunión</w:t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1.- Registro de asistencia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Jesús Martin Reyes Pérez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Paula Ollin Martínez Santos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Fernando Antoine Eligio Hurtado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Adilene Pérez Narciso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Fernando Ramírez Ramírez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Laura Raymundo Sánchez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Alma García Herrera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Sebastián Jesús González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2.- Instalación y presentación de la mecánica de la mesa.</w:t>
      </w:r>
    </w:p>
    <w:p w:rsidR="00000000" w:rsidDel="00000000" w:rsidP="00000000" w:rsidRDefault="00000000" w:rsidRPr="00000000" w14:paraId="00000020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El C. Sesaí Díaz Sánchez, Moderador de la Mesa Temática Sectorial de Juventudes, instaló la mesa y describió el proceso de trabajo de la misma ante los asistentes.</w:t>
      </w:r>
    </w:p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3.- Presentación de integrantes.</w:t>
      </w:r>
    </w:p>
    <w:p w:rsidR="00000000" w:rsidDel="00000000" w:rsidP="00000000" w:rsidRDefault="00000000" w:rsidRPr="00000000" w14:paraId="00000023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Los asistentes e integrantes de la Mesa, se presentaron destacando su nombre, procedencia y el objetivo de su participación.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4.- Ponencias.</w:t>
      </w:r>
    </w:p>
    <w:p w:rsidR="00000000" w:rsidDel="00000000" w:rsidP="00000000" w:rsidRDefault="00000000" w:rsidRPr="00000000" w14:paraId="00000026">
      <w:pPr>
        <w:jc w:val="both"/>
        <w:rPr>
          <w:rFonts w:ascii="Helvetica Neue" w:cs="Helvetica Neue" w:eastAsia="Helvetica Neue" w:hAnsi="Helvetica Neue"/>
          <w:b w:val="1"/>
          <w:i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El Moderador de la Mesa, solicitó a los ponentes registrados para participar en la mesa, sus intervenciones, reiterándoles los compromisos y requerimientos señalados en la mecánica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Helvetica Neue" w:cs="Helvetica Neue" w:eastAsia="Helvetica Neue" w:hAnsi="Helvetica Neue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Jesús Martin Reyes Pérez, con el tema de “Problemáticas de las juventudes con algún tipo de discapacidad”.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Paula Ollin Martínez Santos, con el tema “Los Jóvenes y el emprendimiento”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Fernando Antoine Eligio Hurtado, con el tema “Inclusión Juvenil”.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Adilene Pérez Narciso, “Políticas públicas para las y los jóvenes”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Fernando Ramírez Ramírez, con el tema “Retos en materia de emprendimiento para los jóvenes”.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Laura Raymundo Sánchez, con el tema “Juventudes Indígenas y Afromexicanas”.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Alma García Herrera, con el tema “Derechos de las personas LGBTQI+”.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Sebastián Jesús González, “La educación en las juventudes”.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Helvetica Neue" w:cs="Helvetica Neue" w:eastAsia="Helvetica Neue" w:hAnsi="Helvetica Neue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Helvetica Neue" w:cs="Helvetica Neue" w:eastAsia="Helvetica Neue" w:hAnsi="Helvetica Neue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5.- Sesión de preguntas y respuestas.</w:t>
      </w:r>
    </w:p>
    <w:p w:rsidR="00000000" w:rsidDel="00000000" w:rsidP="00000000" w:rsidRDefault="00000000" w:rsidRPr="00000000" w14:paraId="00000034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De acuerdo con la mecánica definida y una vez concluidas las ponencias, se abrió una ronda de preguntas y respuestas entre los integrantes de la Mesa Temática Sectorial, con el objetivo de estimular la participación y profundizar en los temas correspondientes al tema tratado.</w:t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6.- Integración de conclusiones.</w:t>
      </w:r>
    </w:p>
    <w:p w:rsidR="00000000" w:rsidDel="00000000" w:rsidP="00000000" w:rsidRDefault="00000000" w:rsidRPr="00000000" w14:paraId="00000037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Con el objetivo de validar las conclusiones de mayor relevancia, el Moderador realizó un recuento de las mismas. Los integrantes de la mesa las enlistaron en orden de prioridad. Las 5 conclusiones que se ubicaron en los primeros lugares se propondrán para su lectura en la sesión plenaria de cierre:</w:t>
      </w:r>
    </w:p>
    <w:p w:rsidR="00000000" w:rsidDel="00000000" w:rsidP="00000000" w:rsidRDefault="00000000" w:rsidRPr="00000000" w14:paraId="00000038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1. Promover programas, acciones para la inclusión integral de las personas jóvenes con algún tipo de discapacidad (rehabilitación de las vialidades públicas, implementación de talleres, capacitaciones, entre otros).</w:t>
      </w:r>
    </w:p>
    <w:p w:rsidR="00000000" w:rsidDel="00000000" w:rsidP="00000000" w:rsidRDefault="00000000" w:rsidRPr="00000000" w14:paraId="0000003A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2. Vincular y fortalecer en los tres órdenes de gobierno la inclusión laboral de las juventudes. </w:t>
      </w:r>
    </w:p>
    <w:p w:rsidR="00000000" w:rsidDel="00000000" w:rsidP="00000000" w:rsidRDefault="00000000" w:rsidRPr="00000000" w14:paraId="0000003B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3.Coordinar con los tres ordenes de gobierno acciones que contribuyan al inicio, permanencia y conclusión de la educación de las juventudes en los niveles medio superior y superior.</w:t>
      </w:r>
    </w:p>
    <w:p w:rsidR="00000000" w:rsidDel="00000000" w:rsidP="00000000" w:rsidRDefault="00000000" w:rsidRPr="00000000" w14:paraId="0000003C">
      <w:pPr>
        <w:ind w:firstLine="72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4. Impulsar la transversalidad de políticas públicas con perspectiva de juventudes que contribuyan a la inclusión de los sectores LGBTQI+, juventudes indígenas y afromexicanos, entre otros.</w:t>
      </w:r>
    </w:p>
    <w:p w:rsidR="00000000" w:rsidDel="00000000" w:rsidP="00000000" w:rsidRDefault="00000000" w:rsidRPr="00000000" w14:paraId="0000003D">
      <w:pPr>
        <w:ind w:firstLine="72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5. Impulsar mecanismos de participación ciudadana en la toma de decisiones públicas en materia de juventudes.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7.- Lectura y firma de la relatoría.</w:t>
      </w:r>
    </w:p>
    <w:p w:rsidR="00000000" w:rsidDel="00000000" w:rsidP="00000000" w:rsidRDefault="00000000" w:rsidRPr="00000000" w14:paraId="00000040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El Moderador procedió a dar lectura a la propuesta de relatoría, para validación de los integrantes de la mesa. Posteriormente ésta fue firmada.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8.- Cierre de la mesa.</w:t>
      </w:r>
    </w:p>
    <w:p w:rsidR="00000000" w:rsidDel="00000000" w:rsidP="00000000" w:rsidRDefault="00000000" w:rsidRPr="00000000" w14:paraId="00000043">
      <w:pPr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El Coordinador de la mesa, agradeció las participaciones y dio por concluido el proceso de trabajo de la Mesa Temática. Asimismo, invitó a los integrantes a participar en la sesión plenaria.</w:t>
      </w:r>
    </w:p>
    <w:p w:rsidR="00000000" w:rsidDel="00000000" w:rsidP="00000000" w:rsidRDefault="00000000" w:rsidRPr="00000000" w14:paraId="00000044">
      <w:pPr>
        <w:jc w:val="both"/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9.0" w:type="dxa"/>
        <w:jc w:val="center"/>
        <w:tblBorders>
          <w:top w:color="c0504d" w:space="0" w:sz="8" w:val="single"/>
          <w:left w:color="000000" w:space="0" w:sz="4" w:val="single"/>
          <w:bottom w:color="c0504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9"/>
        <w:gridCol w:w="2878"/>
        <w:gridCol w:w="3272"/>
        <w:tblGridChange w:id="0">
          <w:tblGrid>
            <w:gridCol w:w="3009"/>
            <w:gridCol w:w="2878"/>
            <w:gridCol w:w="3272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Carlos Amaya López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Sesaí Díaz Sánchez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Jorge Ramírez García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Coordinador de Mesa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Moderador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Relator</w:t>
            </w:r>
          </w:p>
        </w:tc>
      </w:tr>
    </w:tbl>
    <w:p w:rsidR="00000000" w:rsidDel="00000000" w:rsidP="00000000" w:rsidRDefault="00000000" w:rsidRPr="00000000" w14:paraId="00000058">
      <w:pPr>
        <w:spacing w:after="200" w:line="276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418" w:top="2126" w:left="1418" w:right="1247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Helvetica Neue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49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-648967</wp:posOffset>
              </wp:positionH>
              <wp:positionV relativeFrom="paragraph">
                <wp:posOffset>42545</wp:posOffset>
              </wp:positionV>
              <wp:extent cx="4732020" cy="92202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2020" cy="922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1BBF" w:rsidDel="00000000" w:rsidP="00000000" w:rsidRDefault="00021BBF" w:rsidRPr="00000000" w14:paraId="12EFEF10" w14:textId="3DCAAB59">
                          <w:r w:rsidDel="00000000" w:rsidR="00000000" w:rsidRPr="00000000">
                            <w:rPr>
                              <w:noProof w:val="1"/>
                              <w:lang w:eastAsia="es-ES_tradnl" w:val="es-ES_tradnl"/>
                            </w:rPr>
                            <w:drawing>
                              <wp:inline distB="0" distT="0" distL="0" distR="0">
                                <wp:extent cx="4556760" cy="802521"/>
                                <wp:effectExtent b="0" l="0" r="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87657" cy="8079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-648967</wp:posOffset>
              </wp:positionH>
              <wp:positionV relativeFrom="paragraph">
                <wp:posOffset>42545</wp:posOffset>
              </wp:positionV>
              <wp:extent cx="4732020" cy="92202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2020" cy="922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4906010</wp:posOffset>
              </wp:positionH>
              <wp:positionV relativeFrom="paragraph">
                <wp:posOffset>88265</wp:posOffset>
              </wp:positionV>
              <wp:extent cx="1682115" cy="76962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115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879D8" w:rsidDel="00000000" w:rsidP="005879D8" w:rsidRDefault="005879D8" w:rsidRPr="00000000" w14:paraId="4D163638" w14:textId="32E70822">
                          <w:pPr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  <w:lang w:eastAsia="es-ES_tradnl" w:val="es-ES_tradnl"/>
                            </w:rPr>
                            <w:drawing>
                              <wp:inline distB="0" distT="0" distL="0" distR="0">
                                <wp:extent cx="1468755" cy="818515"/>
                                <wp:effectExtent b="635" l="0" r="0" t="0"/>
                                <wp:docPr id="1" name="Imagen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8755" cy="818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4906010</wp:posOffset>
              </wp:positionH>
              <wp:positionV relativeFrom="paragraph">
                <wp:posOffset>88265</wp:posOffset>
              </wp:positionV>
              <wp:extent cx="1682115" cy="76962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2115" cy="769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49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49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49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49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